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FFA" w:rsidRDefault="0077534E">
      <w:r>
        <w:rPr>
          <w:noProof/>
          <w:lang w:eastAsia="it-IT"/>
        </w:rPr>
        <w:drawing>
          <wp:inline distT="0" distB="0" distL="0" distR="0">
            <wp:extent cx="6197600" cy="4667250"/>
            <wp:effectExtent l="19050" t="0" r="12700" b="0"/>
            <wp:docPr id="1" name="Grafico 1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4C7DAF" w:rsidRPr="00375A95" w:rsidRDefault="004C7DAF" w:rsidP="004C7DAF">
      <w:pPr>
        <w:ind w:left="-709"/>
        <w:rPr>
          <w:rFonts w:ascii="Palatino Linotype" w:hAnsi="Palatino Linotype" w:cs="Times New Roman"/>
          <w:color w:val="000000"/>
          <w:sz w:val="18"/>
          <w:szCs w:val="18"/>
          <w:lang w:val="en-US"/>
        </w:rPr>
      </w:pPr>
      <w:r w:rsidRPr="00375A95">
        <w:rPr>
          <w:rFonts w:ascii="Palatino Linotype" w:hAnsi="Palatino Linotype" w:cs="Times New Roman"/>
          <w:b/>
          <w:sz w:val="18"/>
          <w:szCs w:val="18"/>
          <w:lang w:val="en-US"/>
        </w:rPr>
        <w:t>Figure S4</w:t>
      </w:r>
      <w:r w:rsidRPr="00375A95">
        <w:rPr>
          <w:rFonts w:ascii="Palatino Linotype" w:hAnsi="Palatino Linotype" w:cs="Times New Roman"/>
          <w:sz w:val="18"/>
          <w:szCs w:val="18"/>
          <w:lang w:val="en-US"/>
        </w:rPr>
        <w:t xml:space="preserve">.  </w:t>
      </w:r>
      <w:proofErr w:type="spellStart"/>
      <w:r w:rsidRPr="00375A95">
        <w:rPr>
          <w:rFonts w:ascii="Palatino Linotype" w:hAnsi="Palatino Linotype" w:cs="Times New Roman"/>
          <w:sz w:val="18"/>
          <w:szCs w:val="18"/>
          <w:lang w:val="en-US"/>
        </w:rPr>
        <w:t>Sequons</w:t>
      </w:r>
      <w:proofErr w:type="spellEnd"/>
      <w:r w:rsidRPr="00375A95">
        <w:rPr>
          <w:rFonts w:ascii="Palatino Linotype" w:hAnsi="Palatino Linotype" w:cs="Times New Roman"/>
          <w:sz w:val="18"/>
          <w:szCs w:val="18"/>
          <w:lang w:val="en-US"/>
        </w:rPr>
        <w:t xml:space="preserve"> (N-X-S/T) and </w:t>
      </w:r>
      <w:r w:rsidRPr="00375A95">
        <w:rPr>
          <w:rFonts w:ascii="Palatino Linotype" w:hAnsi="Palatino Linotype" w:cs="Times New Roman"/>
          <w:i/>
          <w:sz w:val="18"/>
          <w:szCs w:val="18"/>
          <w:lang w:val="en-US"/>
        </w:rPr>
        <w:t>N</w:t>
      </w:r>
      <w:r w:rsidRPr="00375A95">
        <w:rPr>
          <w:rFonts w:ascii="Palatino Linotype" w:hAnsi="Palatino Linotype" w:cs="Times New Roman"/>
          <w:sz w:val="18"/>
          <w:szCs w:val="18"/>
          <w:lang w:val="en-US"/>
        </w:rPr>
        <w:t>-</w:t>
      </w:r>
      <w:proofErr w:type="spellStart"/>
      <w:r w:rsidRPr="00375A95">
        <w:rPr>
          <w:rFonts w:ascii="Palatino Linotype" w:hAnsi="Palatino Linotype" w:cs="Times New Roman"/>
          <w:sz w:val="18"/>
          <w:szCs w:val="18"/>
          <w:lang w:val="en-US"/>
        </w:rPr>
        <w:t>glycosylation</w:t>
      </w:r>
      <w:proofErr w:type="spellEnd"/>
      <w:r w:rsidRPr="00375A95">
        <w:rPr>
          <w:rFonts w:ascii="Palatino Linotype" w:hAnsi="Palatino Linotype" w:cs="Times New Roman"/>
          <w:sz w:val="18"/>
          <w:szCs w:val="18"/>
          <w:lang w:val="en-US"/>
        </w:rPr>
        <w:t xml:space="preserve"> sites distribution </w:t>
      </w:r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in the 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IgT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CH region from the temperate 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Perciform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species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Epinephelus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coioides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,</w:t>
      </w:r>
      <w:r w:rsidRPr="00375A95">
        <w:rPr>
          <w:rFonts w:ascii="Palatino Linotype" w:hAnsi="Palatino Linotype" w:cs="Times New Roman"/>
          <w:sz w:val="18"/>
          <w:szCs w:val="18"/>
          <w:lang w:val="en-US"/>
        </w:rPr>
        <w:t xml:space="preserve"> orange-spotted grouper</w:t>
      </w:r>
      <w:r w:rsidRPr="00375A95">
        <w:rPr>
          <w:rFonts w:ascii="Palatino Linotype" w:hAnsi="Palatino Linotype" w:cs="Times New Roman"/>
          <w:i/>
          <w:sz w:val="18"/>
          <w:szCs w:val="18"/>
          <w:lang w:val="en-US"/>
        </w:rPr>
        <w:t>,</w:t>
      </w:r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 xml:space="preserve"> (Eco, GU182366)</w:t>
      </w:r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Sparus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aurata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seabream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(</w:t>
      </w:r>
      <w:proofErr w:type="spellStart"/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Sau</w:t>
      </w:r>
      <w:proofErr w:type="spellEnd"/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, KX599200)</w:t>
      </w:r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Thunnus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orientalis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Pacific 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bluefin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tuna</w:t>
      </w:r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 xml:space="preserve"> (Tor, KF713336)</w:t>
      </w:r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Gasterosteus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aculeatus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, three-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spined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stickleback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375A95">
        <w:rPr>
          <w:rFonts w:ascii="Palatino Linotype" w:hAnsi="Palatino Linotype"/>
          <w:sz w:val="18"/>
          <w:szCs w:val="18"/>
          <w:lang w:val="en-US"/>
        </w:rPr>
        <w:t xml:space="preserve">[40],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Siniperca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chuatsi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, mandarin fish</w:t>
      </w:r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 xml:space="preserve"> (</w:t>
      </w:r>
      <w:proofErr w:type="spellStart"/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Sch</w:t>
      </w:r>
      <w:proofErr w:type="spellEnd"/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, DQ016660)</w:t>
      </w:r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Sebastes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caurinus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, copper rockfish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(</w:t>
      </w:r>
      <w:proofErr w:type="spellStart"/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Sca</w:t>
      </w:r>
      <w:proofErr w:type="spellEnd"/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, GE798008)</w:t>
      </w:r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Dicentrarchus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labrax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European 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seabass</w:t>
      </w:r>
      <w:proofErr w:type="spellEnd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 </w:t>
      </w:r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(</w:t>
      </w:r>
      <w:proofErr w:type="spellStart"/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Dia</w:t>
      </w:r>
      <w:proofErr w:type="spellEnd"/>
      <w:r w:rsidRPr="00375A95">
        <w:rPr>
          <w:rFonts w:ascii="Palatino Linotype" w:hAnsi="Palatino Linotype" w:cs="Times New Roman"/>
          <w:iCs/>
          <w:color w:val="000000"/>
          <w:sz w:val="18"/>
          <w:szCs w:val="18"/>
          <w:lang w:val="en-US"/>
        </w:rPr>
        <w:t>, KM410929)</w:t>
      </w:r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 from the non-Antarctic species 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B.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diacanthus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Bdi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KP876590), 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E.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maclovinus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(Ema1 and Ema2), and from the Antarctic species 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T.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bernacchii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and 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TbeL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variants),  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N.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coriiceps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</w:t>
      </w:r>
      <w:proofErr w:type="spellStart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>Nco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, KP876589), 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G.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gibberifrons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(Ggi1), 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H.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velifer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(Hve1 and Hve2, both coding for same CH2 size but differing in the CH3 domain length) and </w:t>
      </w:r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 xml:space="preserve">G. </w:t>
      </w:r>
      <w:proofErr w:type="spellStart"/>
      <w:r w:rsidRPr="00375A95">
        <w:rPr>
          <w:rFonts w:ascii="Palatino Linotype" w:hAnsi="Palatino Linotype" w:cs="Times New Roman"/>
          <w:i/>
          <w:color w:val="000000"/>
          <w:sz w:val="18"/>
          <w:szCs w:val="18"/>
          <w:lang w:val="en-US"/>
        </w:rPr>
        <w:t>acuticeps</w:t>
      </w:r>
      <w:proofErr w:type="spellEnd"/>
      <w:r w:rsidRPr="00375A95">
        <w:rPr>
          <w:rFonts w:ascii="Palatino Linotype" w:hAnsi="Palatino Linotype" w:cs="Times New Roman"/>
          <w:color w:val="000000"/>
          <w:sz w:val="18"/>
          <w:szCs w:val="18"/>
          <w:lang w:val="en-US"/>
        </w:rPr>
        <w:t xml:space="preserve"> (Gac1).</w:t>
      </w:r>
    </w:p>
    <w:p w:rsidR="00F53615" w:rsidRPr="00F53615" w:rsidRDefault="00F53615">
      <w:pPr>
        <w:rPr>
          <w:lang w:val="en-US"/>
        </w:rPr>
      </w:pPr>
    </w:p>
    <w:sectPr w:rsidR="00F53615" w:rsidRPr="00F53615" w:rsidSect="003C1F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2F9" w:rsidRDefault="00E642F9" w:rsidP="000C3F28">
      <w:pPr>
        <w:spacing w:after="0" w:line="240" w:lineRule="auto"/>
      </w:pPr>
      <w:r>
        <w:separator/>
      </w:r>
    </w:p>
  </w:endnote>
  <w:endnote w:type="continuationSeparator" w:id="0">
    <w:p w:rsidR="00E642F9" w:rsidRDefault="00E642F9" w:rsidP="000C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28" w:rsidRDefault="000C3F2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28" w:rsidRDefault="000C3F28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28" w:rsidRDefault="000C3F2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2F9" w:rsidRDefault="00E642F9" w:rsidP="000C3F28">
      <w:pPr>
        <w:spacing w:after="0" w:line="240" w:lineRule="auto"/>
      </w:pPr>
      <w:r>
        <w:separator/>
      </w:r>
    </w:p>
  </w:footnote>
  <w:footnote w:type="continuationSeparator" w:id="0">
    <w:p w:rsidR="00E642F9" w:rsidRDefault="00E642F9" w:rsidP="000C3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28" w:rsidRDefault="000C3F28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28" w:rsidRPr="00127E5D" w:rsidRDefault="004C7DAF">
    <w:pPr>
      <w:pStyle w:val="Intestazione"/>
      <w:rPr>
        <w:rFonts w:ascii="Palatino Linotype" w:hAnsi="Palatino Linotype"/>
        <w:sz w:val="20"/>
        <w:szCs w:val="20"/>
        <w:lang w:val="en-US"/>
      </w:rPr>
    </w:pPr>
    <w:r w:rsidRPr="00127E5D">
      <w:rPr>
        <w:rFonts w:ascii="Palatino Linotype" w:hAnsi="Palatino Linotype"/>
        <w:sz w:val="20"/>
        <w:szCs w:val="20"/>
        <w:lang w:val="en-US"/>
      </w:rPr>
      <w:t>Figure S4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F28" w:rsidRDefault="000C3F28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534E"/>
    <w:rsid w:val="00056B41"/>
    <w:rsid w:val="000C3F28"/>
    <w:rsid w:val="001056D6"/>
    <w:rsid w:val="00127E5D"/>
    <w:rsid w:val="00176224"/>
    <w:rsid w:val="00186382"/>
    <w:rsid w:val="001D666C"/>
    <w:rsid w:val="0029457A"/>
    <w:rsid w:val="002D5AE5"/>
    <w:rsid w:val="00375A95"/>
    <w:rsid w:val="003A61F8"/>
    <w:rsid w:val="003C1F67"/>
    <w:rsid w:val="00425ED9"/>
    <w:rsid w:val="00475E1D"/>
    <w:rsid w:val="004B5AE9"/>
    <w:rsid w:val="004C7DAF"/>
    <w:rsid w:val="00570E3B"/>
    <w:rsid w:val="007057F8"/>
    <w:rsid w:val="0077534E"/>
    <w:rsid w:val="008075C0"/>
    <w:rsid w:val="008251D3"/>
    <w:rsid w:val="00835720"/>
    <w:rsid w:val="00855AD4"/>
    <w:rsid w:val="00863B37"/>
    <w:rsid w:val="008C73FB"/>
    <w:rsid w:val="00B0373E"/>
    <w:rsid w:val="00B5392D"/>
    <w:rsid w:val="00C11038"/>
    <w:rsid w:val="00C66D6A"/>
    <w:rsid w:val="00D72FFA"/>
    <w:rsid w:val="00D9586E"/>
    <w:rsid w:val="00E45F16"/>
    <w:rsid w:val="00E642F9"/>
    <w:rsid w:val="00EB468A"/>
    <w:rsid w:val="00F23F6E"/>
    <w:rsid w:val="00F53615"/>
    <w:rsid w:val="00F53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1F6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4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9457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C3F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C3F28"/>
  </w:style>
  <w:style w:type="paragraph" w:styleId="Pidipagina">
    <w:name w:val="footer"/>
    <w:basedOn w:val="Normale"/>
    <w:link w:val="PidipaginaCarattere"/>
    <w:uiPriority w:val="99"/>
    <w:semiHidden/>
    <w:unhideWhenUsed/>
    <w:rsid w:val="000C3F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C3F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Foglio_di_lavoro_di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t-IT"/>
  <c:chart>
    <c:autoTitleDeleted val="1"/>
    <c:plotArea>
      <c:layout>
        <c:manualLayout>
          <c:layoutTarget val="inner"/>
          <c:xMode val="edge"/>
          <c:yMode val="edge"/>
          <c:x val="0.12866512843681419"/>
          <c:y val="3.4082811077186796E-2"/>
          <c:w val="0.64311334747957516"/>
          <c:h val="0.79766570334324305"/>
        </c:manualLayout>
      </c:layout>
      <c:barChart>
        <c:barDir val="col"/>
        <c:grouping val="clustered"/>
        <c:ser>
          <c:idx val="0"/>
          <c:order val="0"/>
          <c:tx>
            <c:strRef>
              <c:f>Foglio2!$B$1</c:f>
              <c:strCache>
                <c:ptCount val="1"/>
                <c:pt idx="0">
                  <c:v>n° sequons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Foglio2!$A$2:$A$18</c:f>
              <c:strCache>
                <c:ptCount val="17"/>
                <c:pt idx="0">
                  <c:v>Eco</c:v>
                </c:pt>
                <c:pt idx="1">
                  <c:v>Sau</c:v>
                </c:pt>
                <c:pt idx="2">
                  <c:v>Tor</c:v>
                </c:pt>
                <c:pt idx="3">
                  <c:v>Gacu</c:v>
                </c:pt>
                <c:pt idx="4">
                  <c:v>Sch</c:v>
                </c:pt>
                <c:pt idx="5">
                  <c:v>Sca</c:v>
                </c:pt>
                <c:pt idx="6">
                  <c:v>Dla</c:v>
                </c:pt>
                <c:pt idx="7">
                  <c:v>Bdi</c:v>
                </c:pt>
                <c:pt idx="8">
                  <c:v>Ema1</c:v>
                </c:pt>
                <c:pt idx="9">
                  <c:v>Ema2</c:v>
                </c:pt>
                <c:pt idx="10">
                  <c:v>TbeS</c:v>
                </c:pt>
                <c:pt idx="11">
                  <c:v>TbeL</c:v>
                </c:pt>
                <c:pt idx="12">
                  <c:v>Nco</c:v>
                </c:pt>
                <c:pt idx="13">
                  <c:v>Ggi1</c:v>
                </c:pt>
                <c:pt idx="14">
                  <c:v>Hve1</c:v>
                </c:pt>
                <c:pt idx="15">
                  <c:v>Hve2</c:v>
                </c:pt>
                <c:pt idx="16">
                  <c:v>Gac1</c:v>
                </c:pt>
              </c:strCache>
            </c:strRef>
          </c:cat>
          <c:val>
            <c:numRef>
              <c:f>Foglio2!$B$2:$B$18</c:f>
              <c:numCache>
                <c:formatCode>General</c:formatCode>
                <c:ptCount val="17"/>
                <c:pt idx="0">
                  <c:v>4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4</c:v>
                </c:pt>
                <c:pt idx="5">
                  <c:v>4</c:v>
                </c:pt>
                <c:pt idx="6">
                  <c:v>2</c:v>
                </c:pt>
                <c:pt idx="7">
                  <c:v>3</c:v>
                </c:pt>
                <c:pt idx="8">
                  <c:v>4</c:v>
                </c:pt>
                <c:pt idx="9">
                  <c:v>3</c:v>
                </c:pt>
                <c:pt idx="10">
                  <c:v>3</c:v>
                </c:pt>
                <c:pt idx="11">
                  <c:v>2</c:v>
                </c:pt>
                <c:pt idx="12">
                  <c:v>4</c:v>
                </c:pt>
                <c:pt idx="13">
                  <c:v>6</c:v>
                </c:pt>
                <c:pt idx="14">
                  <c:v>2</c:v>
                </c:pt>
                <c:pt idx="15">
                  <c:v>4</c:v>
                </c:pt>
                <c:pt idx="16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853-4F98-9A66-38F4C16938B3}"/>
            </c:ext>
          </c:extLst>
        </c:ser>
        <c:ser>
          <c:idx val="1"/>
          <c:order val="1"/>
          <c:tx>
            <c:strRef>
              <c:f>Foglio2!$C$1</c:f>
              <c:strCache>
                <c:ptCount val="1"/>
                <c:pt idx="0">
                  <c:v>n° pred sites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Foglio2!$A$2:$A$18</c:f>
              <c:strCache>
                <c:ptCount val="17"/>
                <c:pt idx="0">
                  <c:v>Eco</c:v>
                </c:pt>
                <c:pt idx="1">
                  <c:v>Sau</c:v>
                </c:pt>
                <c:pt idx="2">
                  <c:v>Tor</c:v>
                </c:pt>
                <c:pt idx="3">
                  <c:v>Gacu</c:v>
                </c:pt>
                <c:pt idx="4">
                  <c:v>Sch</c:v>
                </c:pt>
                <c:pt idx="5">
                  <c:v>Sca</c:v>
                </c:pt>
                <c:pt idx="6">
                  <c:v>Dla</c:v>
                </c:pt>
                <c:pt idx="7">
                  <c:v>Bdi</c:v>
                </c:pt>
                <c:pt idx="8">
                  <c:v>Ema1</c:v>
                </c:pt>
                <c:pt idx="9">
                  <c:v>Ema2</c:v>
                </c:pt>
                <c:pt idx="10">
                  <c:v>TbeS</c:v>
                </c:pt>
                <c:pt idx="11">
                  <c:v>TbeL</c:v>
                </c:pt>
                <c:pt idx="12">
                  <c:v>Nco</c:v>
                </c:pt>
                <c:pt idx="13">
                  <c:v>Ggi1</c:v>
                </c:pt>
                <c:pt idx="14">
                  <c:v>Hve1</c:v>
                </c:pt>
                <c:pt idx="15">
                  <c:v>Hve2</c:v>
                </c:pt>
                <c:pt idx="16">
                  <c:v>Gac1</c:v>
                </c:pt>
              </c:strCache>
            </c:strRef>
          </c:cat>
          <c:val>
            <c:numRef>
              <c:f>Foglio2!$C$2:$C$18</c:f>
              <c:numCache>
                <c:formatCode>General</c:formatCode>
                <c:ptCount val="17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2</c:v>
                </c:pt>
                <c:pt idx="5">
                  <c:v>2</c:v>
                </c:pt>
                <c:pt idx="6">
                  <c:v>1</c:v>
                </c:pt>
                <c:pt idx="7">
                  <c:v>2</c:v>
                </c:pt>
                <c:pt idx="8">
                  <c:v>2</c:v>
                </c:pt>
                <c:pt idx="9">
                  <c:v>0</c:v>
                </c:pt>
                <c:pt idx="10">
                  <c:v>2</c:v>
                </c:pt>
                <c:pt idx="11">
                  <c:v>1</c:v>
                </c:pt>
                <c:pt idx="12">
                  <c:v>3</c:v>
                </c:pt>
                <c:pt idx="13">
                  <c:v>4</c:v>
                </c:pt>
                <c:pt idx="14">
                  <c:v>1</c:v>
                </c:pt>
                <c:pt idx="15">
                  <c:v>2</c:v>
                </c:pt>
                <c:pt idx="16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853-4F98-9A66-38F4C16938B3}"/>
            </c:ext>
          </c:extLst>
        </c:ser>
        <c:gapWidth val="267"/>
        <c:overlap val="-43"/>
        <c:axId val="155095040"/>
        <c:axId val="155096576"/>
      </c:barChart>
      <c:catAx>
        <c:axId val="155095040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cap="none" spc="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55096576"/>
        <c:crosses val="autoZero"/>
        <c:auto val="1"/>
        <c:lblAlgn val="ctr"/>
        <c:lblOffset val="100"/>
      </c:catAx>
      <c:valAx>
        <c:axId val="15509657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6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sz="1600">
                    <a:solidFill>
                      <a:sysClr val="windowText" lastClr="000000"/>
                    </a:solidFill>
                  </a:rPr>
                  <a:t>N-glyc sites</a:t>
                </a:r>
              </a:p>
            </c:rich>
          </c:tx>
          <c:layout>
            <c:manualLayout>
              <c:xMode val="edge"/>
              <c:yMode val="edge"/>
              <c:x val="2.7197302181489809E-2"/>
              <c:y val="0.38906143874872778"/>
            </c:manualLayout>
          </c:layout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155095040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1000" b="1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</c:legendEntry>
      <c:layout>
        <c:manualLayout>
          <c:xMode val="edge"/>
          <c:yMode val="edge"/>
          <c:x val="0.82329514650832858"/>
          <c:y val="0.34897809202421326"/>
          <c:w val="0.15873757583580744"/>
          <c:h val="0.14679743323899569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0.15356</cdr:x>
      <cdr:y>0.92415</cdr:y>
    </cdr:from>
    <cdr:to>
      <cdr:x>0.3011</cdr:x>
      <cdr:y>0.97721</cdr:y>
    </cdr:to>
    <cdr:sp macro="" textlink="">
      <cdr:nvSpPr>
        <cdr:cNvPr id="3" name="Casella di testo 1"/>
        <cdr:cNvSpPr txBox="1"/>
      </cdr:nvSpPr>
      <cdr:spPr>
        <a:xfrm xmlns:a="http://schemas.openxmlformats.org/drawingml/2006/main">
          <a:off x="951678" y="4313256"/>
          <a:ext cx="914394" cy="2476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it-IT" sz="900" b="1">
              <a:solidFill>
                <a:srgbClr val="FF0000"/>
              </a:solidFill>
            </a:rPr>
            <a:t>Temperate species</a:t>
          </a:r>
          <a:r>
            <a:rPr lang="it-IT" sz="1050" b="1">
              <a:solidFill>
                <a:srgbClr val="FF0000"/>
              </a:solidFill>
            </a:rPr>
            <a:t> </a:t>
          </a:r>
        </a:p>
      </cdr:txBody>
    </cdr:sp>
  </cdr:relSizeAnchor>
  <cdr:relSizeAnchor xmlns:cdr="http://schemas.openxmlformats.org/drawingml/2006/chartDrawing">
    <cdr:from>
      <cdr:x>0.34452</cdr:x>
      <cdr:y>0.9291</cdr:y>
    </cdr:from>
    <cdr:to>
      <cdr:x>0.4775</cdr:x>
      <cdr:y>0.98216</cdr:y>
    </cdr:to>
    <cdr:sp macro="" textlink="">
      <cdr:nvSpPr>
        <cdr:cNvPr id="4" name="Casella di testo 1"/>
        <cdr:cNvSpPr txBox="1"/>
      </cdr:nvSpPr>
      <cdr:spPr>
        <a:xfrm xmlns:a="http://schemas.openxmlformats.org/drawingml/2006/main">
          <a:off x="2135226" y="4336330"/>
          <a:ext cx="824157" cy="2476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/>
          <a:r>
            <a:rPr lang="it-IT" sz="900" b="1">
              <a:solidFill>
                <a:srgbClr val="FF33CC"/>
              </a:solidFill>
            </a:rPr>
            <a:t>non-Antarctic species</a:t>
          </a:r>
        </a:p>
      </cdr:txBody>
    </cdr:sp>
  </cdr:relSizeAnchor>
  <cdr:relSizeAnchor xmlns:cdr="http://schemas.openxmlformats.org/drawingml/2006/chartDrawing">
    <cdr:from>
      <cdr:x>0.54566</cdr:x>
      <cdr:y>0.92149</cdr:y>
    </cdr:from>
    <cdr:to>
      <cdr:x>0.6932</cdr:x>
      <cdr:y>0.97455</cdr:y>
    </cdr:to>
    <cdr:sp macro="" textlink="">
      <cdr:nvSpPr>
        <cdr:cNvPr id="7" name="Casella di testo 1"/>
        <cdr:cNvSpPr txBox="1"/>
      </cdr:nvSpPr>
      <cdr:spPr>
        <a:xfrm xmlns:a="http://schemas.openxmlformats.org/drawingml/2006/main">
          <a:off x="3381793" y="4300824"/>
          <a:ext cx="914393" cy="24764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it-IT" sz="900" b="1">
              <a:solidFill>
                <a:srgbClr val="003399"/>
              </a:solidFill>
            </a:rPr>
            <a:t>Antarctic species</a:t>
          </a:r>
          <a:r>
            <a:rPr lang="it-IT" sz="1050" b="1">
              <a:solidFill>
                <a:srgbClr val="003399"/>
              </a:solidFill>
            </a:rPr>
            <a:t> </a:t>
          </a:r>
        </a:p>
      </cdr:txBody>
    </cdr:sp>
  </cdr:relSizeAnchor>
  <cdr:relSizeAnchor xmlns:cdr="http://schemas.openxmlformats.org/drawingml/2006/chartDrawing">
    <cdr:from>
      <cdr:x>0.12679</cdr:x>
      <cdr:y>0.91463</cdr:y>
    </cdr:from>
    <cdr:to>
      <cdr:x>0.37115</cdr:x>
      <cdr:y>0.91463</cdr:y>
    </cdr:to>
    <cdr:cxnSp macro="">
      <cdr:nvCxnSpPr>
        <cdr:cNvPr id="8" name="Connettore diritto 7"/>
        <cdr:cNvCxnSpPr/>
      </cdr:nvCxnSpPr>
      <cdr:spPr>
        <a:xfrm xmlns:a="http://schemas.openxmlformats.org/drawingml/2006/main">
          <a:off x="785800" y="4268790"/>
          <a:ext cx="1514446" cy="0"/>
        </a:xfrm>
        <a:prstGeom xmlns:a="http://schemas.openxmlformats.org/drawingml/2006/main" prst="line">
          <a:avLst/>
        </a:prstGeom>
        <a:ln xmlns:a="http://schemas.openxmlformats.org/drawingml/2006/main" w="19050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0.49334</cdr:x>
      <cdr:y>0.91609</cdr:y>
    </cdr:from>
    <cdr:to>
      <cdr:x>0.74738</cdr:x>
      <cdr:y>0.91609</cdr:y>
    </cdr:to>
    <cdr:cxnSp macro="">
      <cdr:nvCxnSpPr>
        <cdr:cNvPr id="9" name="Connettore diritto 8"/>
        <cdr:cNvCxnSpPr/>
      </cdr:nvCxnSpPr>
      <cdr:spPr>
        <a:xfrm xmlns:a="http://schemas.openxmlformats.org/drawingml/2006/main">
          <a:off x="3057525" y="4275617"/>
          <a:ext cx="1574410" cy="0"/>
        </a:xfrm>
        <a:prstGeom xmlns:a="http://schemas.openxmlformats.org/drawingml/2006/main" prst="line">
          <a:avLst/>
        </a:prstGeom>
        <a:ln xmlns:a="http://schemas.openxmlformats.org/drawingml/2006/main" w="19050">
          <a:solidFill>
            <a:srgbClr val="0000FF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0.38934</cdr:x>
      <cdr:y>0.91605</cdr:y>
    </cdr:from>
    <cdr:to>
      <cdr:x>0.48566</cdr:x>
      <cdr:y>0.91605</cdr:y>
    </cdr:to>
    <cdr:cxnSp macro="">
      <cdr:nvCxnSpPr>
        <cdr:cNvPr id="12" name="Connettore diritto 11"/>
        <cdr:cNvCxnSpPr/>
      </cdr:nvCxnSpPr>
      <cdr:spPr>
        <a:xfrm xmlns:a="http://schemas.openxmlformats.org/drawingml/2006/main">
          <a:off x="2412974" y="4275434"/>
          <a:ext cx="596952" cy="0"/>
        </a:xfrm>
        <a:prstGeom xmlns:a="http://schemas.openxmlformats.org/drawingml/2006/main" prst="line">
          <a:avLst/>
        </a:prstGeom>
        <a:ln xmlns:a="http://schemas.openxmlformats.org/drawingml/2006/main" w="19050">
          <a:solidFill>
            <a:srgbClr val="FF00FF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Ametrano</dc:creator>
  <cp:keywords/>
  <dc:description/>
  <cp:lastModifiedBy>TORRE</cp:lastModifiedBy>
  <cp:revision>15</cp:revision>
  <cp:lastPrinted>2020-05-19T20:58:00Z</cp:lastPrinted>
  <dcterms:created xsi:type="dcterms:W3CDTF">2020-04-02T13:35:00Z</dcterms:created>
  <dcterms:modified xsi:type="dcterms:W3CDTF">2020-11-20T10:26:00Z</dcterms:modified>
</cp:coreProperties>
</file>